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0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gide645c68x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STANOVY SPOLKU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zbi0sb2uvwiq" w:id="1"/>
      <w:bookmarkEnd w:id="1"/>
      <w:r w:rsidDel="00000000" w:rsidR="00000000" w:rsidRPr="00000000">
        <w:rPr>
          <w:rtl w:val="0"/>
        </w:rPr>
        <w:t xml:space="preserve">čl. I: Název a sídlo, působnost a charakter spolku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 spolku je: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 (dále jen „spolek“);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sídlem spolku je adresa: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Náměstí Míru 123, Pardubice 530 01 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spolek působí na celém území České republiky, spolek se nečlení na organizační jednotky – spolek je místně příslušnou organizační jednotkou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charakter spolku – spolek je zapsaným spolkem podle zákona č. 89/2012 Sb., občanského zákoníku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spolek je samosprávná, dobrovolná, nepolitická a nezisková organizace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300" w:lineRule="auto"/>
        <w:rPr>
          <w:rFonts w:ascii="Times New Roman" w:cs="Times New Roman" w:eastAsia="Times New Roman" w:hAnsi="Times New Roman"/>
        </w:rPr>
      </w:pPr>
      <w:bookmarkStart w:colFirst="0" w:colLast="0" w:name="_t944h0lev1l1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II: Účel spolku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podpora nových a netradičních přístupů a řešení v oblasti vzdělávání a nových technologií při záchraně srnčí zvěře při senosečích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osvětová činnost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zakládání veřejných sbírek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sdružování dobrovolných členů pro terénní akce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zasazení o ochranu, existenci a zachování přiměřeně početných populací zvěře v naší přírodě, s ohledem na historický vývoj druhového spektra zvěře i jiných živočichů na našem území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podpora a aktivní prosazování smysluplných opatření směřujících k oživení zemědělské krajiny, podpoře biodiverzity a snížení negativního civilizačního tlaku na volně žijící živočichy a jejich životní prostředí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300" w:lineRule="auto"/>
        <w:rPr>
          <w:rFonts w:ascii="Times New Roman" w:cs="Times New Roman" w:eastAsia="Times New Roman" w:hAnsi="Times New Roman"/>
        </w:rPr>
      </w:pPr>
      <w:bookmarkStart w:colFirst="0" w:colLast="0" w:name="_m9antbk3l7ao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III: Cíle spolku a předmět jeho činnosti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záchrana srnčí zvěře při senosečích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zajišťování finančních prostředků nezbytných pro realizaci projektů naplňujících účel spolku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příprava a realizace vzdělávacích akcí (přednášky, semináře)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realizace osvětové činnosti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další formy činností a konkretizaci činností stanoví výbor spolku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="300" w:lineRule="auto"/>
        <w:rPr>
          <w:rFonts w:ascii="Times New Roman" w:cs="Times New Roman" w:eastAsia="Times New Roman" w:hAnsi="Times New Roman"/>
        </w:rPr>
      </w:pPr>
      <w:bookmarkStart w:colFirst="0" w:colLast="0" w:name="_5i6b1095ydhj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IV: Členství ve spolku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členem se může stát na základě svého rozhodnutí fyzická nebo právnická osoba, která se ztotožňuje s účelem hlavní činnosti spolku a hodlá se podílet na naplňování společných zájmů s ostatními členy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členem spolku mohou být fyzické osoby starší 18 let a právnické osoby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přihlášku ke členství podává zájemce písemně předsedovi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přijetí rozhoduje výbor do 30 dnů od podání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členství vzniká dnem kladného rozhodnutí výboru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může přihlášku odmítnout bez udání důvodu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 neplatí žádné členské příspěvky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předseda vede seznam členů (neveřejný), do kterého se zapisují bez zbytečného odkladu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zakládajícími členy spolku jsou alespoň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3 osoby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vedené společným zájmem vést spolek jako samosprávný a dobrovolný svazek členů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rPr/>
      </w:pPr>
      <w:bookmarkStart w:colFirst="0" w:colLast="0" w:name="_xclcb59pcgqm" w:id="5"/>
      <w:bookmarkEnd w:id="5"/>
      <w:r w:rsidDel="00000000" w:rsidR="00000000" w:rsidRPr="00000000">
        <w:rPr>
          <w:rtl w:val="0"/>
        </w:rPr>
        <w:t xml:space="preserve">Členství zaniká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závažným porušením povinností vyplývající z členství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doručením písemného oznámení člena o vystoupení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rozhodnutím o vyloučení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úmrtím, zánikem právnické osoby – člena spolku, zánikem spolku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rPr/>
      </w:pPr>
      <w:bookmarkStart w:colFirst="0" w:colLast="0" w:name="_iijend23jx0m" w:id="6"/>
      <w:bookmarkEnd w:id="6"/>
      <w:r w:rsidDel="00000000" w:rsidR="00000000" w:rsidRPr="00000000">
        <w:rPr>
          <w:rtl w:val="0"/>
        </w:rPr>
        <w:t xml:space="preserve">Člen má právo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účastnit se činnosti spolku a jeho orgánů a být o této činnosti informován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předkládat návrhy, podněty a připomínky k činnosti spolku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podílet se na stanovování cílů a forem činnosti spolku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rPr/>
      </w:pPr>
      <w:bookmarkStart w:colFirst="0" w:colLast="0" w:name="_hje1n4b9av1l" w:id="7"/>
      <w:bookmarkEnd w:id="7"/>
      <w:r w:rsidDel="00000000" w:rsidR="00000000" w:rsidRPr="00000000">
        <w:rPr>
          <w:rtl w:val="0"/>
        </w:rPr>
        <w:t xml:space="preserve">Člen má povinnost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dodržovat tyto stanovy a jednat v souladu s cíli spolku; svou činností naplňovat cíle spolku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hffmrlcwvczn" w:id="8"/>
      <w:bookmarkEnd w:id="8"/>
      <w:r w:rsidDel="00000000" w:rsidR="00000000" w:rsidRPr="00000000">
        <w:rPr>
          <w:rtl w:val="0"/>
        </w:rPr>
        <w:t xml:space="preserve">čl. V: Orgány spolku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Orgány spolku jsou: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statutární orgán – předseda ()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nejvyšší orgán – výbor spolku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Martina Nováková, Martin Novák, Pavel Krátký, Lucie Nováková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5hx1dpw5mpqr" w:id="9"/>
      <w:bookmarkEnd w:id="9"/>
      <w:r w:rsidDel="00000000" w:rsidR="00000000" w:rsidRPr="00000000">
        <w:rPr>
          <w:rtl w:val="0"/>
        </w:rPr>
        <w:t xml:space="preserve">čl. VI: Statutární orgán – předseda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statutárním orgánem spolku je předseda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funkční období předsedy je pětileté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602pj56svnwl" w:id="10"/>
      <w:bookmarkEnd w:id="10"/>
      <w:r w:rsidDel="00000000" w:rsidR="00000000" w:rsidRPr="00000000">
        <w:rPr>
          <w:rtl w:val="0"/>
        </w:rPr>
        <w:t xml:space="preserve">čl. VII: Výbor spolku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je nejvyšším orgánem spolku; schází se nejméně jednou ročně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pětičlenný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prvními členy výboru jsou zakladatelé spolku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 ukončení členství ve spolku nebo rezignace na funkci člena výboru se výbor doplňuje kooptací zbývajícími členy výboru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je usnášeníschopný, je-li přítomna většina členů výboru; nesejde-li se v potřebném počtu, svolá se nejpozději do šesti dnů náhradní zasedání výboru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nové zasedání výboru je usnášeníschopné bez ohledu na počet přítomných členů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přijímá rozhodnutí hlasováním; pro přijetí rozhodnutí je potřeba souhlas nadpoloviční většiny přítomných členů, pokud tyto stanovy neurčí jinak; každý člen má 1 hlas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může být svolán, požádá-li o to 1/3 členů spolku, a to ve lhůtě do jednoho měsíce, není-li v žádosti uvedena lhůta pozdější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funkční období výboru je pětileté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případě, že usnesení výboru se příčí dobrým mravům či odporuje těmto stanovám, hledí se na něj, jako by nebylo přijato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výbor volí předsedu spolku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schvaluje stanovy spolku a jejich změny, rozhoduje o zániku spolku; pro přijetí těchto rozhodnutí je potřeba souhlas 2/3 členů výboru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schvaluje rozpočet, zprávu o činnosti, zprávu o hospodaření za minulé období a revizní zprávu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konkretizuje činnost pro další období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="300" w:lineRule="auto"/>
        <w:rPr>
          <w:rFonts w:ascii="Times New Roman" w:cs="Times New Roman" w:eastAsia="Times New Roman" w:hAnsi="Times New Roman"/>
        </w:rPr>
      </w:pPr>
      <w:bookmarkStart w:colFirst="0" w:colLast="0" w:name="_k6yfkenao1fo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</w:t>
      </w:r>
      <w:r w:rsidDel="00000000" w:rsidR="00000000" w:rsidRPr="00000000">
        <w:rPr>
          <w:rtl w:val="0"/>
        </w:rPr>
        <w:t xml:space="preserve">IX: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Zásady hospodaření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spolek je neziskovou organizací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případné příjmy budou tvořit dary, dotace, granty a příjmy z činnosti spolku a z majetku spolku, veřejných sbírek a budou používány na činnost spolku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výdaje spolku jsou zaměřeny na uskutečňování cílů spolku v souladu s jeho hlavní činností podle těchto stanov a rozpočtem spolku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="300" w:lineRule="auto"/>
        <w:rPr>
          <w:rFonts w:ascii="Times New Roman" w:cs="Times New Roman" w:eastAsia="Times New Roman" w:hAnsi="Times New Roman"/>
        </w:rPr>
      </w:pPr>
      <w:bookmarkStart w:colFirst="0" w:colLast="0" w:name="_da6hrjn74y98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X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Okolnosti zániku spolku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 zániku bude případný zbylý majetek po likvidaci předán na základě rozhodnutí výboru osobě, jejíž cíle jsou blízké cílům spolku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Účinnost stanov je ode dne zápisu do spolkového rejstříku.</w:t>
      </w:r>
    </w:p>
    <w:p w:rsidR="00000000" w:rsidDel="00000000" w:rsidP="00000000" w:rsidRDefault="00000000" w:rsidRPr="00000000" w14:paraId="0000004A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Pardubicích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1. ledna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Předseda spolku: </w:t>
      </w:r>
    </w:p>
    <w:p w:rsidR="00000000" w:rsidDel="00000000" w:rsidP="00000000" w:rsidRDefault="00000000" w:rsidRPr="00000000" w14:paraId="0000004C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Jan Novák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Členové výboru:</w:t>
      </w:r>
    </w:p>
    <w:p w:rsidR="00000000" w:rsidDel="00000000" w:rsidP="00000000" w:rsidRDefault="00000000" w:rsidRPr="00000000" w14:paraId="00000052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Martina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Martin Novák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Pavel Krátký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Lucie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